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Vážený pán štátny tajomník,</w:t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Pán splnomocnenec vlády,</w:t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Ctené predsedníctvo,</w:t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Milé kolegyne,</w:t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>Kolegovia.</w:t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0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Som starostom obce Santovka. Obce, ktorá v roku 2002 prevzala do svojej </w:t>
      </w:r>
      <w:r>
        <w:rPr>
          <w:rStyle w:val="Character0"/>
          <w:sz w:val="26"/>
          <w:szCs w:val="26"/>
        </w:rPr>
        <w:t xml:space="preserve">zriaďovateľskej pôsobnosti od krajského úradu v Nitre, vtedy ešte Domov Dôchodcov. </w:t>
      </w:r>
      <w:r>
        <w:rPr>
          <w:rStyle w:val="Character0"/>
          <w:sz w:val="26"/>
          <w:szCs w:val="26"/>
        </w:rPr>
        <w:t xml:space="preserve">Tento, jeden z najstarších svojho druhu na Slovensku, pre svoju potrebu využíval </w:t>
      </w:r>
      <w:r>
        <w:rPr>
          <w:rStyle w:val="Character0"/>
          <w:sz w:val="26"/>
          <w:szCs w:val="26"/>
        </w:rPr>
        <w:t xml:space="preserve">bývalý kaštieľ rodiny Ňáriovcov a postupne pristavané budovy.  Založený bol </w:t>
      </w:r>
      <w:r>
        <w:rPr>
          <w:rStyle w:val="Character0"/>
          <w:sz w:val="26"/>
          <w:szCs w:val="26"/>
        </w:rPr>
        <w:t xml:space="preserve">15.10.1952. Vtedy tu bolo umiestnených 10 žien z Banskej Štiavnice. Ako to býva, </w:t>
      </w:r>
      <w:r>
        <w:rPr>
          <w:rStyle w:val="Character0"/>
          <w:sz w:val="26"/>
          <w:szCs w:val="26"/>
        </w:rPr>
        <w:t xml:space="preserve">priestory zariadenia boli v zlom technickom stave, údržba budov a technického </w:t>
      </w:r>
      <w:r>
        <w:rPr>
          <w:rStyle w:val="Character0"/>
          <w:sz w:val="26"/>
          <w:szCs w:val="26"/>
        </w:rPr>
        <w:t xml:space="preserve">zázemia bola zanedbaná. Prevádzka náročná, energeticky neefektívna a technologicky </w:t>
      </w:r>
      <w:r>
        <w:rPr>
          <w:rStyle w:val="Character0"/>
          <w:sz w:val="26"/>
          <w:szCs w:val="26"/>
        </w:rPr>
        <w:t xml:space="preserve">na úrovni 60 – tich rokov. Čo sa týka spôsobov poskytovania sociálnych služieb, tieto </w:t>
      </w:r>
      <w:r>
        <w:rPr>
          <w:rStyle w:val="Character0"/>
          <w:sz w:val="26"/>
          <w:szCs w:val="26"/>
        </w:rPr>
        <w:t xml:space="preserve">boli orientované prevažne na pasívnu starostlivosť o obyvateľov (klientov) </w:t>
      </w:r>
      <w:r>
        <w:rPr>
          <w:rStyle w:val="Character0"/>
          <w:sz w:val="26"/>
          <w:szCs w:val="26"/>
        </w:rPr>
        <w:t xml:space="preserve">umiestnených v zariadení, ktorí tu v podstate pasívne dožívali svoj život.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Po prechode zariadenia pod správu obce štát z časti naďalej zabezpečoval </w:t>
      </w:r>
      <w:r>
        <w:rPr>
          <w:rStyle w:val="Character0"/>
          <w:sz w:val="26"/>
          <w:szCs w:val="26"/>
        </w:rPr>
        <w:t xml:space="preserve">financovanie prevádzky. Bolo to formou ročnej dotácie z ministerstva financií, ktorá </w:t>
      </w:r>
      <w:r>
        <w:rPr>
          <w:rStyle w:val="Character0"/>
          <w:sz w:val="26"/>
          <w:szCs w:val="26"/>
        </w:rPr>
        <w:t xml:space="preserve">pozostávala jednak z prostriedkov účelovo určených na prevádzku a časti určenej na </w:t>
      </w:r>
      <w:r>
        <w:rPr>
          <w:rStyle w:val="Character0"/>
          <w:sz w:val="26"/>
          <w:szCs w:val="26"/>
        </w:rPr>
        <w:t xml:space="preserve">kapitálové výdaje. Posledne menované sme využívali na zlepšenie technického </w:t>
      </w:r>
      <w:r>
        <w:rPr>
          <w:rStyle w:val="Character0"/>
          <w:sz w:val="26"/>
          <w:szCs w:val="26"/>
        </w:rPr>
        <w:t xml:space="preserve">a prevádzkového zázemia. Zmodernizovala sa kuchyňa, kúrenie, inštalovali slnečné </w:t>
      </w:r>
      <w:r>
        <w:rPr>
          <w:rStyle w:val="Character0"/>
          <w:sz w:val="26"/>
          <w:szCs w:val="26"/>
        </w:rPr>
        <w:t xml:space="preserve">kolektory na ohrev vody, vybudovala čistička odpadových vôd.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 V roku 2011 zariadenie prešlo rozsiahlou rekonštrukciou a modernizáciou, na ktorú </w:t>
      </w:r>
      <w:r>
        <w:rPr>
          <w:rStyle w:val="Character0"/>
          <w:sz w:val="26"/>
          <w:szCs w:val="26"/>
        </w:rPr>
        <w:t xml:space="preserve">obec získala finančné prostriedky z ROP. Hlavným zameraním činnosti zariadenia je </w:t>
      </w:r>
      <w:r>
        <w:rPr>
          <w:rStyle w:val="Character0"/>
          <w:sz w:val="26"/>
          <w:szCs w:val="26"/>
        </w:rPr>
        <w:t xml:space="preserve">poskytovanie sociálnych služieb v zmysle § 35, § 41 zákona 448/2008 Z.z. </w:t>
      </w:r>
      <w:r>
        <w:rPr>
          <w:rStyle w:val="Character0"/>
          <w:sz w:val="26"/>
          <w:szCs w:val="26"/>
        </w:rPr>
        <w:t xml:space="preserve">o sociálnych službách. Celková kapacita zariadenia s celoročným pobytom klientov je </w:t>
      </w:r>
      <w:r>
        <w:rPr>
          <w:rStyle w:val="Character0"/>
          <w:sz w:val="26"/>
          <w:szCs w:val="26"/>
        </w:rPr>
        <w:t xml:space="preserve">88 miest. Svoje služby poskytuje nadregionálne a pri prijímaní odkázaných klientov </w:t>
      </w:r>
      <w:r>
        <w:rPr>
          <w:rStyle w:val="Character0"/>
          <w:sz w:val="26"/>
          <w:szCs w:val="26"/>
        </w:rPr>
        <w:t xml:space="preserve">sa nezohľadňuje ich trvalí pobyt. Klienti sú umiestnený v dvoj a trojlôžkových izbách </w:t>
      </w:r>
      <w:r>
        <w:rPr>
          <w:rStyle w:val="Character0"/>
          <w:sz w:val="26"/>
          <w:szCs w:val="26"/>
        </w:rPr>
        <w:t xml:space="preserve">s vlastným sociálnym zariadením, sú im k dispozícii spoločenské miestnosti, </w:t>
      </w:r>
      <w:r>
        <w:rPr>
          <w:rStyle w:val="Character0"/>
          <w:sz w:val="26"/>
          <w:szCs w:val="26"/>
        </w:rPr>
        <w:t xml:space="preserve">miestnosť pracovnej terapie, rehabilitácia,  jedáleň, vonkajšia rozľahlá terasa pre </w:t>
      </w:r>
      <w:r>
        <w:rPr>
          <w:rStyle w:val="Character0"/>
          <w:sz w:val="26"/>
          <w:szCs w:val="26"/>
        </w:rPr>
        <w:t xml:space="preserve">imobilných klientov, ktorá je prepojená s parkom. Služby pre klientov zabezpečuje 42 </w:t>
      </w:r>
      <w:r>
        <w:rPr>
          <w:rStyle w:val="Character0"/>
          <w:sz w:val="26"/>
          <w:szCs w:val="26"/>
        </w:rPr>
        <w:t xml:space="preserve">zamestnancov, z toho 19 zamestnancov pracuje na zdravotnom úseku, 3 zamestnanci </w:t>
      </w:r>
      <w:r>
        <w:rPr>
          <w:rStyle w:val="Character0"/>
          <w:sz w:val="26"/>
          <w:szCs w:val="26"/>
        </w:rPr>
        <w:t xml:space="preserve">na sociálnom úseku a 21 zamestnancov zabezpečuje obslužné činnosti. Okrem </w:t>
      </w:r>
      <w:r>
        <w:rPr>
          <w:rStyle w:val="Character0"/>
          <w:sz w:val="26"/>
          <w:szCs w:val="26"/>
        </w:rPr>
        <w:t xml:space="preserve">celoročného pobytu klientov, zariadenie poskytuje opatrovateľské služby </w:t>
      </w:r>
      <w:r>
        <w:rPr>
          <w:rStyle w:val="Character0"/>
          <w:sz w:val="26"/>
          <w:szCs w:val="26"/>
        </w:rPr>
        <w:t xml:space="preserve">v prirodzenom rodinnom prostredí pre klientov s trvalým pobytom v obci Santovka, </w:t>
      </w:r>
      <w:r>
        <w:rPr>
          <w:rStyle w:val="Character0"/>
          <w:sz w:val="26"/>
          <w:szCs w:val="26"/>
        </w:rPr>
        <w:t xml:space="preserve">odľahčovaciu službu, rehabilitačné služby, služby fyzioterapeuta a ďalšie podporné </w:t>
      </w:r>
      <w:r>
        <w:rPr>
          <w:rStyle w:val="Character0"/>
          <w:sz w:val="26"/>
          <w:szCs w:val="26"/>
        </w:rPr>
        <w:t xml:space="preserve">služby ako sú služby práčovne, poskytovanie stravy pre obyvateľov obce. Potrebné </w:t>
      </w:r>
      <w:r>
        <w:rPr>
          <w:rStyle w:val="Character0"/>
          <w:sz w:val="26"/>
          <w:szCs w:val="26"/>
        </w:rPr>
        <w:t xml:space="preserve">zdravotnícke úkony sú poskytované na úkor vlastných nákladov prípadne </w:t>
      </w:r>
      <w:r>
        <w:rPr>
          <w:rStyle w:val="Character0"/>
          <w:sz w:val="26"/>
          <w:szCs w:val="26"/>
        </w:rPr>
        <w:t xml:space="preserve">dodávateľsky. Zariadenie spolupracuje so SČK v Leviciach, Pedagogickou a sociálnou </w:t>
      </w:r>
      <w:r>
        <w:rPr>
          <w:rStyle w:val="Character0"/>
          <w:sz w:val="26"/>
          <w:szCs w:val="26"/>
        </w:rPr>
        <w:t xml:space="preserve">akadémiou Levice, UKF  v Nitre, odborom sociálna práca, ktorím  poskytujeme </w:t>
      </w:r>
      <w:r>
        <w:rPr>
          <w:rStyle w:val="Character0"/>
          <w:sz w:val="26"/>
          <w:szCs w:val="26"/>
        </w:rPr>
        <w:t xml:space="preserve">priestory na praktickú výučbu  absolventov škôl a absolventov vzdelávacích kurzov. </w:t>
      </w:r>
      <w:r>
        <w:rPr>
          <w:rStyle w:val="Character0"/>
          <w:sz w:val="26"/>
          <w:szCs w:val="26"/>
        </w:rPr>
        <w:t xml:space="preserve">V zmysle dohody so SČK v Leviciach nám na oplátku SČK zabezpečuje prepravnú </w:t>
      </w:r>
      <w:r>
        <w:rPr>
          <w:rStyle w:val="Character0"/>
          <w:sz w:val="26"/>
          <w:szCs w:val="26"/>
        </w:rPr>
        <w:t xml:space="preserve">službu pre klientov v zariadení a pre obyvateľov v obci Santovka. Naši klienti sa </w:t>
      </w:r>
      <w:r>
        <w:rPr>
          <w:rStyle w:val="Character0"/>
          <w:sz w:val="26"/>
          <w:szCs w:val="26"/>
        </w:rPr>
        <w:t xml:space="preserve">zapájajú do rôznych projektov a súťaží. Vo vlastnej réžii si zabezpečujeme semináre </w:t>
      </w:r>
      <w:r>
        <w:rPr>
          <w:rStyle w:val="Character0"/>
          <w:sz w:val="26"/>
          <w:szCs w:val="26"/>
        </w:rPr>
        <w:t xml:space="preserve">na celo okresnej úrovni pre zdravotný personál, ktoré sú schválené Komorou sestier. </w:t>
      </w:r>
      <w:r>
        <w:rPr>
          <w:rStyle w:val="Character0"/>
          <w:sz w:val="26"/>
          <w:szCs w:val="26"/>
        </w:rPr>
        <w:t xml:space="preserve">Pri kultúrnych a duchovných podujatiach spolupracujeme s viacerými organizáciami </w:t>
      </w:r>
      <w:r>
        <w:rPr>
          <w:rStyle w:val="Character0"/>
          <w:sz w:val="26"/>
          <w:szCs w:val="26"/>
        </w:rPr>
        <w:t xml:space="preserve">v Nitrianskom kraji. DAB Nitra poskytuje zariadeniu  zvýhodnené vstupenky na svoje </w:t>
      </w:r>
      <w:r>
        <w:rPr>
          <w:rStyle w:val="Character0"/>
          <w:sz w:val="26"/>
          <w:szCs w:val="26"/>
        </w:rPr>
        <w:t xml:space="preserve">predstavenia. Pri tvorbe životného prostredia, okolia zariadenia a priľahlého parku </w:t>
      </w:r>
      <w:r>
        <w:rPr>
          <w:rStyle w:val="Character0"/>
          <w:sz w:val="26"/>
          <w:szCs w:val="26"/>
        </w:rPr>
        <w:t xml:space="preserve">nám nápadmi, štúdiami a projektmi pomáhajú študenti SPU odbor záhradná </w:t>
      </w:r>
      <w:r>
        <w:rPr>
          <w:rStyle w:val="Character0"/>
          <w:sz w:val="26"/>
          <w:szCs w:val="26"/>
        </w:rPr>
        <w:t>architektúra.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Odborný personál poskytuje poradenstvo a súčinnosť aj okolitým obciam </w:t>
      </w:r>
      <w:r>
        <w:rPr>
          <w:rStyle w:val="Character0"/>
          <w:sz w:val="26"/>
          <w:szCs w:val="26"/>
        </w:rPr>
        <w:t xml:space="preserve">a starostom pri riešení vzniknutých sociálnych situáciách, spolupracuje so spoločnou </w:t>
      </w:r>
      <w:r>
        <w:rPr>
          <w:rStyle w:val="Character0"/>
          <w:sz w:val="26"/>
          <w:szCs w:val="26"/>
        </w:rPr>
        <w:t xml:space="preserve">úradovňou obcí Tekovského regiónu odborom opatrovateľskej a posudkovej činnosti.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Zariadenie úzko spolupracuje s obcou, kde si vzájomne pomáhame pri riešení </w:t>
      </w:r>
      <w:r>
        <w:rPr>
          <w:rStyle w:val="Character0"/>
          <w:sz w:val="26"/>
          <w:szCs w:val="26"/>
        </w:rPr>
        <w:t xml:space="preserve">vzniknutých situácií nielen sociálneho zamerania. Vzájomná spolupráca zariadenia </w:t>
      </w:r>
      <w:r>
        <w:rPr>
          <w:rStyle w:val="Character0"/>
          <w:sz w:val="26"/>
          <w:szCs w:val="26"/>
        </w:rPr>
        <w:t xml:space="preserve">s miestnou základnou a materskou školou je prínosom nielen pre obyvateľov </w:t>
      </w:r>
      <w:r>
        <w:rPr>
          <w:rStyle w:val="Character0"/>
          <w:sz w:val="26"/>
          <w:szCs w:val="26"/>
        </w:rPr>
        <w:t xml:space="preserve">zariadenia ale aj týchto škôl.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Milé dámy,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Vážení páni,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ako som uviedol, aj malá obec môže a vie poskytovať sociálne služby na slušnej </w:t>
      </w:r>
      <w:r>
        <w:rPr>
          <w:rStyle w:val="Character0"/>
          <w:sz w:val="26"/>
          <w:szCs w:val="26"/>
        </w:rPr>
        <w:t xml:space="preserve">úrovni, kvalitne a v širšom okolí. Nie len lokálne zameranom. Je to hlavne o snahe, </w:t>
      </w:r>
      <w:r>
        <w:rPr>
          <w:rStyle w:val="Character0"/>
          <w:sz w:val="26"/>
          <w:szCs w:val="26"/>
        </w:rPr>
        <w:t xml:space="preserve">porozumení problematike a vhodnom ľudskom potenciály. A ako vždy o peniazoch.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 Určite nie je dobré, že postupne sa rozširujúca sieť zariadení je financovaná </w:t>
      </w:r>
      <w:r>
        <w:rPr>
          <w:rStyle w:val="Character0"/>
          <w:sz w:val="26"/>
          <w:szCs w:val="26"/>
        </w:rPr>
        <w:t xml:space="preserve">z jedného, dovolím si povedať aj obmedzeného balíka peňazí. Musíme si </w:t>
      </w:r>
      <w:r>
        <w:rPr>
          <w:rStyle w:val="Character0"/>
          <w:sz w:val="26"/>
          <w:szCs w:val="26"/>
        </w:rPr>
        <w:t xml:space="preserve">jednoznačne povedať, na čo máme a tomu prispôsobiť sieť zariadení, nastaviť </w:t>
      </w:r>
      <w:r>
        <w:rPr>
          <w:rStyle w:val="Character0"/>
          <w:sz w:val="26"/>
          <w:szCs w:val="26"/>
        </w:rPr>
        <w:t xml:space="preserve">podmienky na poskytovanie sociálnej pomoci a pre tieto služby stanoviť kvalitatívne </w:t>
      </w:r>
      <w:r>
        <w:rPr>
          <w:rStyle w:val="Character0"/>
          <w:sz w:val="26"/>
          <w:szCs w:val="26"/>
        </w:rPr>
        <w:t xml:space="preserve">normy alebo ukazovatele. Podľa môjho názoru sa to nezaobíde bez uzatvorenia </w:t>
      </w:r>
      <w:r>
        <w:rPr>
          <w:rStyle w:val="Character0"/>
          <w:sz w:val="26"/>
          <w:szCs w:val="26"/>
        </w:rPr>
        <w:t xml:space="preserve">systému a vytvorenia siete zariadení, ktorých služby dokážeme ufinancovať pri </w:t>
      </w:r>
      <w:r>
        <w:rPr>
          <w:rStyle w:val="Character0"/>
          <w:sz w:val="26"/>
          <w:szCs w:val="26"/>
        </w:rPr>
        <w:t xml:space="preserve">dodržaní stanovených kritérií. Na  ďalšie rozširovanie siete musia byť potom </w:t>
      </w:r>
      <w:r>
        <w:rPr>
          <w:rStyle w:val="Character0"/>
          <w:sz w:val="26"/>
          <w:szCs w:val="26"/>
        </w:rPr>
        <w:t xml:space="preserve">navýšené a poskytnuté finančné zdroje v zodpovedajúcej výške. 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Ak sa bavíme o kompetenciách v oblasti sociálnych služieb hlavným impulzom </w:t>
      </w:r>
      <w:r>
        <w:rPr>
          <w:rStyle w:val="Character0"/>
          <w:sz w:val="26"/>
          <w:szCs w:val="26"/>
        </w:rPr>
        <w:t xml:space="preserve">týchto debát je hlavne spôsob financovania. Všetci vieme, že originálna kompetencia </w:t>
      </w:r>
      <w:r>
        <w:rPr>
          <w:rStyle w:val="Character0"/>
          <w:sz w:val="26"/>
          <w:szCs w:val="26"/>
        </w:rPr>
        <w:t xml:space="preserve">musí byť financovaná z vlastných príjmov, prenesená zo zdrojov štátu. Spôsob ktorý </w:t>
      </w:r>
      <w:r>
        <w:rPr>
          <w:rStyle w:val="Character0"/>
          <w:sz w:val="26"/>
          <w:szCs w:val="26"/>
        </w:rPr>
        <w:t xml:space="preserve">tu dnes existuje je zmiešaný a dlhodobo nesystémový. Nedokáže v súčasnej dobe </w:t>
      </w:r>
      <w:r>
        <w:rPr>
          <w:rStyle w:val="Character0"/>
          <w:sz w:val="26"/>
          <w:szCs w:val="26"/>
        </w:rPr>
        <w:t xml:space="preserve">zabezpečiť jednoduchú reprodukciu majetku,(jeho zachovanie v nezníženej hodnote),  </w:t>
      </w:r>
      <w:r>
        <w:rPr>
          <w:rStyle w:val="Character0"/>
          <w:sz w:val="26"/>
          <w:szCs w:val="26"/>
        </w:rPr>
        <w:t xml:space="preserve">nakoľko nevytvára zdroje ani vo výške odpisov majetku.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 Ako zástupca obce  mám  záujem o také nastavenie systému kompetencií a ich </w:t>
      </w:r>
      <w:r>
        <w:rPr>
          <w:rStyle w:val="Character0"/>
          <w:sz w:val="26"/>
          <w:szCs w:val="26"/>
        </w:rPr>
        <w:t xml:space="preserve">financovania,  ktoré zabezpečí dlhodobú stabilitu a kvalitu poskytovaných sociálnych </w:t>
      </w:r>
      <w:r>
        <w:rPr>
          <w:rStyle w:val="Character0"/>
          <w:sz w:val="26"/>
          <w:szCs w:val="26"/>
        </w:rPr>
        <w:t xml:space="preserve">služieb.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1"/>
          <w:sz w:val="26"/>
          <w:szCs w:val="26"/>
        </w:rPr>
        <w:t xml:space="preserve">   Ak chceme stabilizovať celý systém: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1"/>
          <w:sz w:val="26"/>
          <w:szCs w:val="26"/>
        </w:rPr>
        <w:t/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V prvom rade musíme uzatvoriť sieť poskytovateľov služieb a určiť </w:t>
      </w:r>
      <w:r>
        <w:rPr>
          <w:rStyle w:val="Character0"/>
          <w:sz w:val="26"/>
          <w:szCs w:val="26"/>
        </w:rPr>
        <w:t xml:space="preserve">kvalitatívne štandardy jednotlivých služieb a im prislúchajúce náklady. 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Ďalej vytvoriť centrálnu evidenciu poskytovateľov a žiadateľov sociálnych </w:t>
      </w:r>
      <w:r>
        <w:rPr>
          <w:rStyle w:val="Character0"/>
          <w:sz w:val="26"/>
          <w:szCs w:val="26"/>
        </w:rPr>
        <w:t xml:space="preserve">služieb a na základe týchto údajov vykonať analýzu dostupnosti a požiadavky na </w:t>
      </w:r>
      <w:r>
        <w:rPr>
          <w:rStyle w:val="Character0"/>
          <w:sz w:val="26"/>
          <w:szCs w:val="26"/>
        </w:rPr>
        <w:t xml:space="preserve">jednotlivé služby.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Pokiaľ sa týka obcí: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Rozhodnúť, či naďalej ide o originálnu kompetenciu obcí, v tom prípade </w:t>
      </w:r>
      <w:r>
        <w:rPr>
          <w:rStyle w:val="Character0"/>
          <w:sz w:val="26"/>
          <w:szCs w:val="26"/>
        </w:rPr>
        <w:t xml:space="preserve">doteraz poskytovaný objem dotácií z rozpočtu MPSVaR presunúť do kategórie </w:t>
      </w:r>
      <w:r>
        <w:rPr>
          <w:rStyle w:val="Character0"/>
          <w:sz w:val="26"/>
          <w:szCs w:val="26"/>
        </w:rPr>
        <w:t xml:space="preserve">vlastných príjmov obcí, ktoré sú zriaďovateľmi navýšené o výšku odpisov majetku </w:t>
      </w:r>
      <w:r>
        <w:rPr>
          <w:rStyle w:val="Character0"/>
          <w:sz w:val="26"/>
          <w:szCs w:val="26"/>
        </w:rPr>
        <w:t xml:space="preserve">určeného na tieto služby. 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Alebo určiť, že ide o prenesený výkon štátnej služby, vtedy ponechať </w:t>
      </w:r>
      <w:r>
        <w:rPr>
          <w:rStyle w:val="Character0"/>
          <w:sz w:val="26"/>
          <w:szCs w:val="26"/>
        </w:rPr>
        <w:t xml:space="preserve">financovanie formou dotácií, s navýšením o odpisy určeného majetku na sociálne </w:t>
      </w:r>
      <w:r>
        <w:rPr>
          <w:rStyle w:val="Character0"/>
          <w:sz w:val="26"/>
          <w:szCs w:val="26"/>
        </w:rPr>
        <w:t xml:space="preserve">služby. 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Ďalšie rozširovanie siete regulovať zo strany štátu podľa vykonanej analýzy </w:t>
      </w:r>
      <w:r>
        <w:rPr>
          <w:rStyle w:val="Character0"/>
          <w:sz w:val="26"/>
          <w:szCs w:val="26"/>
        </w:rPr>
        <w:t xml:space="preserve">potrieb a požiadaviek o služby za predpokladu zabezpečenia a poskytnutia </w:t>
      </w:r>
      <w:r>
        <w:rPr>
          <w:rStyle w:val="Character0"/>
          <w:sz w:val="26"/>
          <w:szCs w:val="26"/>
        </w:rPr>
        <w:t xml:space="preserve">potrebného balíka financií pre takto povolených / odsúhlasených poskytovateľov.</w:t>
      </w:r>
    </w:p>
    <w:p>
      <w:pPr>
        <w:pStyle w:val="a3"/>
        <w:numPr>
          <w:ilvl w:val="0"/>
          <w:numId w:val="1"/>
        </w:numPr>
        <w:jc w:val="both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Zabezpečiť financovanie aspoň určených zdravotníckych úkonov zo </w:t>
      </w:r>
      <w:r>
        <w:rPr>
          <w:rStyle w:val="Character0"/>
          <w:sz w:val="26"/>
          <w:szCs w:val="26"/>
        </w:rPr>
        <w:t xml:space="preserve">zdravotného poistenia.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1"/>
          <w:sz w:val="26"/>
          <w:szCs w:val="26"/>
        </w:rPr>
        <w:t>Zamyslenie:</w:t>
      </w:r>
      <w:r>
        <w:rPr>
          <w:rStyle w:val="Character0"/>
          <w:sz w:val="26"/>
          <w:szCs w:val="26"/>
        </w:rPr>
        <w:t xml:space="preserve">  Verejní a neverejní poskytovatelia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  Kto mi vie povedať rozdiel medzi verejným a neverejným poskytovateľom </w:t>
      </w:r>
      <w:r>
        <w:rPr>
          <w:rStyle w:val="Character0"/>
          <w:sz w:val="26"/>
          <w:szCs w:val="26"/>
        </w:rPr>
        <w:t xml:space="preserve">sociálnych služieb, ak obaja poskytujú rovnaké služby a obaja sú financovaní dotáciou </w:t>
      </w:r>
      <w:r>
        <w:rPr>
          <w:rStyle w:val="Character0"/>
          <w:sz w:val="26"/>
          <w:szCs w:val="26"/>
        </w:rPr>
        <w:t xml:space="preserve">zo štátneho rozpočtu?  Aké iné, alebo nové služby nám poskytujú neverejný </w:t>
      </w:r>
      <w:r>
        <w:rPr>
          <w:rStyle w:val="Character0"/>
          <w:sz w:val="26"/>
          <w:szCs w:val="26"/>
        </w:rPr>
        <w:t xml:space="preserve">poskytovatelia, ktoré nie sú schopné poskytovať verejní poskytovatelia? Pritom my </w:t>
      </w:r>
      <w:r>
        <w:rPr>
          <w:rStyle w:val="Character0"/>
          <w:sz w:val="26"/>
          <w:szCs w:val="26"/>
        </w:rPr>
        <w:t xml:space="preserve">obce máme navyše zákonnú povinnosť postarať sa v krajnom prípade o svojich </w:t>
      </w:r>
      <w:r>
        <w:rPr>
          <w:rStyle w:val="Character0"/>
          <w:sz w:val="26"/>
          <w:szCs w:val="26"/>
        </w:rPr>
        <w:t xml:space="preserve">odkázaných a aj nemajetných občanov?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 xml:space="preserve">Ďakujem za pozornosť.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p>
      <w:pPr>
        <w:pStyle w:val="Para2"/>
        <w:spacing w:line="240" w:lineRule="auto"/>
        <w:ind w:left="5664" w:firstLine="0"/>
        <w:tabs>
          <w:tab w:val="left" w:pos="6480"/>
        </w:tabs>
        <w:rPr>
          <w:i/>
          <w:sz w:val="26"/>
          <w:szCs w:val="26"/>
        </w:rPr>
      </w:pPr>
      <w:r>
        <w:rPr>
          <w:rStyle w:val="Character6"/>
          <w:sz w:val="26"/>
          <w:szCs w:val="26"/>
        </w:rPr>
        <w:t xml:space="preserve">Ľubomír Lőrincz</w:t>
      </w:r>
    </w:p>
    <w:p>
      <w:pPr>
        <w:pStyle w:val="Para2"/>
        <w:spacing w:line="240" w:lineRule="auto"/>
        <w:ind w:left="5664" w:firstLine="0"/>
        <w:tabs>
          <w:tab w:val="left" w:pos="6480"/>
        </w:tabs>
        <w:rPr>
          <w:sz w:val="26"/>
          <w:szCs w:val="26"/>
        </w:rPr>
      </w:pPr>
      <w:r>
        <w:rPr>
          <w:rStyle w:val="Character6"/>
          <w:sz w:val="26"/>
          <w:szCs w:val="26"/>
        </w:rPr>
        <w:t xml:space="preserve"> starosta obce </w:t>
      </w:r>
    </w:p>
    <w:p>
      <w:pPr>
        <w:pStyle w:val="Para1"/>
        <w:spacing w:line="240" w:lineRule="auto"/>
        <w:ind w:left="0"/>
        <w:rPr>
          <w:sz w:val="26"/>
          <w:szCs w:val="26"/>
        </w:rPr>
      </w:pPr>
      <w:r>
        <w:rPr>
          <w:rStyle w:val="Character0"/>
          <w:sz w:val="26"/>
          <w:szCs w:val="26"/>
        </w:rPr>
        <w:t/>
      </w:r>
    </w:p>
    <w:sectPr>
      <w:pgSz w:w="11906" w:h="16838" w:orient="landscape" w:code="9"/>
      <w:pgMar w:top="1417" w:right="1417" w:bottom="1417" w:left="1417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38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478512996"/>
    <w:lvl w:ilvl="0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1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2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3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4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5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6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7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  <w:lvl w:ilvl="8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6"/>
      </w:rPr>
    </w:lvl>
  </w:abstractNum>
  <w:abstractNum w:abstractNumId="1">
    <w:nsid w:val="1"/>
    <w:multiLevelType w:val="hybridMultilevel"/>
    <w:tmpl w:val="1470673682"/>
    <w:lvl w:ilvl="0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1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2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3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4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5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6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7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  <w:lvl w:ilvl="8">
      <w:start w:val="1"/>
      <w:numFmt w:val="bullet"/>
      <w:lvlText w:val=""/>
      <w:pPr>
        <w:ind w:left="720" w:hanging="360"/>
      </w:pPr>
      <w:rPr>
        <w:rFonts w:ascii="Courier New" w:eastAsia="Courier New" w:hAnsi="Courier New" w:hint="default"/>
      </w:rPr>
      <w:rPr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ąĹ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ąĹ" w:eastAsia="ąĹ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both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5664" w:firstLine="0"/>
      <w:widowControl w:val="false"/>
      <w:tabs>
        <w:tab w:val="left" w:pos="6480"/>
      </w:tabs>
      <w:rPr/>
    </w:pPr>
  </w:style>
  <w:style w:type="character" w:customStyle="1" w:styleId="Character0">
    <w:name w:val="CharAttribute0"/>
    <w:rPr>
      <w:rFonts w:ascii="Calibri" w:eastAsia="Calibri"/>
      <w:sz w:val="26"/>
    </w:rPr>
  </w:style>
  <w:style w:type="character" w:customStyle="1" w:styleId="Character1">
    <w:name w:val="CharAttribute1"/>
    <w:rPr>
      <w:rFonts w:ascii="Calibri" w:eastAsia="Calibri"/>
      <w:u w:val="single"/>
      <w:sz w:val="26"/>
    </w:rPr>
  </w:style>
  <w:style w:type="character" w:customStyle="1" w:styleId="Character2">
    <w:name w:val="CharAttribute2"/>
    <w:rPr>
      <w:rFonts w:ascii="Symbol" w:eastAsia="Symbol"/>
      <w:sz w:val="26"/>
    </w:rPr>
  </w:style>
  <w:style w:type="character" w:customStyle="1" w:styleId="Character3">
    <w:name w:val="CharAttribute3"/>
    <w:rPr>
      <w:rFonts w:ascii="Symbol" w:eastAsia="Symbol"/>
      <w:sz w:val="26"/>
    </w:rPr>
  </w:style>
  <w:style w:type="character" w:customStyle="1" w:styleId="Character4">
    <w:name w:val="CharAttribute4"/>
    <w:rPr>
      <w:rFonts w:ascii="Courier New" w:eastAsia="Courier New"/>
      <w:sz w:val="26"/>
    </w:rPr>
  </w:style>
  <w:style w:type="character" w:customStyle="1" w:styleId="Character5">
    <w:name w:val="CharAttribute5"/>
    <w:rPr>
      <w:rFonts w:ascii="Courier New" w:eastAsia="Courier New"/>
      <w:sz w:val="26"/>
    </w:rPr>
  </w:style>
  <w:style w:type="character" w:customStyle="1" w:styleId="Character6">
    <w:name w:val="CharAttribute6"/>
    <w:rPr>
      <w:rFonts w:ascii="Calibri" w:eastAsia="Calibri"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Ĺ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Ŕ °µ"/>
        <a:ea typeface=""/>
        <a:cs typeface=""/>
        <a:font script="Jpan" typeface="ŁŁ Ł««««"/>
        <a:font script="Hang" typeface="¸Ŕ °µ"/>
        <a:font script="Hant" typeface="ăáŮ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Ŕ °µ"/>
        <a:ea typeface=""/>
        <a:cs typeface=""/>
        <a:font script="Jpan" typeface="ŁŁ Ł««««"/>
        <a:font script="Hang" typeface="¸Ŕ °µ"/>
        <a:font script="Hant" typeface="ăáŮ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