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74" w:rsidRDefault="004B4346">
      <w:r>
        <w:t>1. Dotácia, ktorá sa poskytla obciam a VÚC, slúži pre nich na vytvorenie priestoru  zvýšiť platy zamestnancom regionálneho školstva financovaným v rámci originálnych kompetencií.</w:t>
      </w:r>
      <w:r>
        <w:br/>
      </w:r>
      <w:r>
        <w:br/>
        <w:t>2. Pri kvantifikácii celkovej výšky dotácie sa vychádzalo z objemu tarifných platov všetkých zamestnancov regionálneho školstva financovaných v rámci originálnych kompetencií, teda aj zamestnancov cirkevných a súkromných subjektov.</w:t>
      </w:r>
      <w:r>
        <w:br/>
      </w:r>
      <w:r>
        <w:br/>
        <w:t xml:space="preserve">3. </w:t>
      </w:r>
      <w:proofErr w:type="spellStart"/>
      <w:r>
        <w:t>MŠVVaŠ</w:t>
      </w:r>
      <w:proofErr w:type="spellEnd"/>
      <w:r>
        <w:t xml:space="preserve"> SR navrhlo vyčlenenú sumu prostriedkov rozpísať na obce a VÚC rovnakým postupom, ako sa rozpisujú prostriedky z dane z príjmov fyzických osôb na výkon originálnych kompetencií v oblasti školstva. V nadväznosti na to rozdelilo celkový objem vyčlenených prostriedkov na sumu pre obce a pre VÚC vrátane  rozdelenia sumy odvodenej od tarifných platov cirkevných a súkromných subjektov. </w:t>
      </w:r>
      <w:r>
        <w:br/>
      </w:r>
      <w:r>
        <w:br/>
        <w:t>4. MF SR následne rozpísalo uvedené sumy na obce, resp. VÚC s využitím rovnakého postupu, ako sa rozpisujú prostriedky z dane z príjmov fyzických osôb na výkon originálnych kompetencií v oblasti školstva.</w:t>
      </w:r>
      <w:r>
        <w:br/>
      </w:r>
      <w:r>
        <w:br/>
        <w:t>5. Pri použití tejto dotácie sa má s ňou nakladať obdobne, ako s ostatnými finančnými prostriedkami, ktoré obec, resp. VÚC dostali ako podiel z dane z príjmov fyzických osôb. To znamená, že je v plnej kompetencii obcí a VÚC, ako tieto prostriedky použijú, s tým, že použitie týchto prostriedkov nesmie byť v rozpore s legislatívou v oblasti školstva.</w:t>
      </w:r>
      <w:r>
        <w:br/>
      </w:r>
      <w:r>
        <w:br/>
        <w:t>6. Ak obec nie je zriaďovateľom žiadnej školy, resp. školského zriadenia  patriaceho pod regionálne školstvo, prostriedky poukáže obciam,  zariadenia  ktorých  navštevujú žiaci z predmetnej obce. Aj tieto prostriedky musia byť použité na zvýšenie platov zamestnancov regionálneho školstva. Zúčtovanie dotácie vykoná prijímateľ dotácie.</w:t>
      </w:r>
      <w:r>
        <w:br/>
      </w:r>
    </w:p>
    <w:sectPr w:rsidR="00CF2274" w:rsidSect="00CF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346"/>
    <w:rsid w:val="00183BC6"/>
    <w:rsid w:val="004B4346"/>
    <w:rsid w:val="00601D13"/>
    <w:rsid w:val="007C5D56"/>
    <w:rsid w:val="00C95CF4"/>
    <w:rsid w:val="00CF2274"/>
    <w:rsid w:val="00F9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CF4"/>
    <w:pPr>
      <w:spacing w:before="120" w:after="0"/>
    </w:pPr>
    <w:rPr>
      <w:rFonts w:ascii="Arial Narrow" w:hAnsi="Arial Narro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MF SR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Zervan</dc:creator>
  <cp:keywords/>
  <dc:description/>
  <cp:lastModifiedBy>Vladimír Zervan</cp:lastModifiedBy>
  <cp:revision>2</cp:revision>
  <dcterms:created xsi:type="dcterms:W3CDTF">2013-02-18T08:22:00Z</dcterms:created>
  <dcterms:modified xsi:type="dcterms:W3CDTF">2013-02-18T08:22:00Z</dcterms:modified>
</cp:coreProperties>
</file>